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D09B5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让“网红”变“长红”，桃花岛还需下好长远棋</w:t>
      </w:r>
    </w:p>
    <w:p w14:paraId="07DC2F30">
      <w:pPr>
        <w:jc w:val="both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</w:p>
    <w:p w14:paraId="46B4255F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143250" cy="3167380"/>
            <wp:effectExtent l="0" t="0" r="0" b="13970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16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CB03BD"/>
    <w:rsid w:val="19CB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2026-03-13T02:45:00Z</dcterms:created>
  <dc:creator>　　　　　　　　</dc:creator>
  <cp:lastModifiedBy>　　　　　　　　</cp:lastModifiedBy>
  <dcterms:modified xsi:type="dcterms:W3CDTF">2026-03-13T02:47:02Z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78CF72D5344E4C2690EBCCB28475AE0B_11</vt:lpwstr>
  </property>
  <property fmtid="{D5CDD505-2E9C-101B-9397-08002B2CF9AE}" pid="4" name="KSOTemplateDocerSaveRecord">
    <vt:lpwstr>eyJoZGlkIjoiNTU1MzdlMDY0ZDFlY2MyNWE4MDg4MTE0YzA5MzM5MWIiLCJ1c2VySWQiOiI2MzcxNDE3MTEifQ==</vt:lpwstr>
  </property>
</Properties>
</file>